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60" w:rsidRPr="00506214" w:rsidRDefault="00792D60" w:rsidP="00792D60">
      <w:pPr>
        <w:rPr>
          <w:rFonts w:ascii="Calibri" w:hAnsi="Calibri" w:cs="Calibri"/>
        </w:rPr>
      </w:pPr>
      <w:bookmarkStart w:id="0" w:name="_GoBack"/>
      <w:bookmarkEnd w:id="0"/>
      <w:r w:rsidRPr="00506214">
        <w:rPr>
          <w:rFonts w:ascii="Calibri" w:hAnsi="Calibri" w:cs="Calibri"/>
        </w:rPr>
        <w:t xml:space="preserve">While the positive contributions of professional societies are well recognized and encouraged by government, their activities also are subject to close scrutiny under both federal and state antitrust laws.  The single most significant law affecting professional societies is the Sherman Antitrust Act, which makes unlawful every contract, combination or conspiracy in restraint of trade.  Because a professional society is, by nature, a group of competitors joined together for a common business purpose, professional societies satisfy what would ordinarily be a difficult element in proving an antitrust violation. </w:t>
      </w:r>
    </w:p>
    <w:p w:rsidR="00792D60" w:rsidRPr="00506214" w:rsidRDefault="00792D60" w:rsidP="00792D60">
      <w:pPr>
        <w:rPr>
          <w:rFonts w:ascii="Calibri" w:hAnsi="Calibri" w:cs="Calibri"/>
          <w:sz w:val="22"/>
        </w:rPr>
      </w:pPr>
    </w:p>
    <w:p w:rsidR="00792D60" w:rsidRDefault="00792D60" w:rsidP="00792D60">
      <w:pPr>
        <w:rPr>
          <w:rFonts w:ascii="Calibri" w:hAnsi="Calibri" w:cs="Calibri"/>
          <w:szCs w:val="19"/>
        </w:rPr>
      </w:pPr>
      <w:r w:rsidRPr="00506214">
        <w:rPr>
          <w:rFonts w:ascii="Calibri" w:hAnsi="Calibri" w:cs="Calibri"/>
        </w:rPr>
        <w:t xml:space="preserve">Historically, the most significant area of antitrust concern for professional societies has been price fixing.  Price fixing is a very broad term which includes any concerted effort </w:t>
      </w:r>
      <w:r w:rsidRPr="00506214">
        <w:rPr>
          <w:rFonts w:ascii="Calibri" w:hAnsi="Calibri" w:cs="Calibri"/>
          <w:szCs w:val="19"/>
        </w:rPr>
        <w:t xml:space="preserve">or action that has an effect on prices, terms or conditions of trade, or on competitors.  Accordingly, members of The Society of Chartered Property and Casualty Underwriters (CPCU Society) should refrain from any discussion which may provide the basis for an inference that they agreed to take any action relating to prices, services, production, </w:t>
      </w:r>
      <w:proofErr w:type="gramStart"/>
      <w:r w:rsidRPr="00506214">
        <w:rPr>
          <w:rFonts w:ascii="Calibri" w:hAnsi="Calibri" w:cs="Calibri"/>
          <w:szCs w:val="19"/>
        </w:rPr>
        <w:t>allocation</w:t>
      </w:r>
      <w:proofErr w:type="gramEnd"/>
      <w:r w:rsidRPr="00506214">
        <w:rPr>
          <w:rFonts w:ascii="Calibri" w:hAnsi="Calibri" w:cs="Calibri"/>
          <w:szCs w:val="19"/>
        </w:rPr>
        <w:t xml:space="preserve"> of markets or any other matter having a market effect.  These discussions should be avoided both at formal meetings and informal gatherings.  </w:t>
      </w:r>
    </w:p>
    <w:p w:rsidR="00792D60" w:rsidRDefault="00792D60" w:rsidP="00792D60">
      <w:pPr>
        <w:rPr>
          <w:rFonts w:ascii="Calibri" w:hAnsi="Calibri" w:cs="Calibri"/>
          <w:szCs w:val="19"/>
        </w:rPr>
      </w:pPr>
    </w:p>
    <w:p w:rsidR="00792D60" w:rsidRPr="00506214" w:rsidRDefault="00792D60" w:rsidP="00792D60">
      <w:pPr>
        <w:rPr>
          <w:rFonts w:ascii="Calibri" w:hAnsi="Calibri" w:cs="Calibri"/>
        </w:rPr>
      </w:pPr>
      <w:r w:rsidRPr="00506214">
        <w:rPr>
          <w:rFonts w:ascii="Calibri" w:hAnsi="Calibri" w:cs="Calibri"/>
          <w:szCs w:val="19"/>
        </w:rPr>
        <w:t>The following are guidelines that CPCU Society members</w:t>
      </w:r>
      <w:r w:rsidRPr="00506214">
        <w:rPr>
          <w:rFonts w:ascii="Calibri" w:hAnsi="Calibri" w:cs="Calibri"/>
        </w:rPr>
        <w:t xml:space="preserve"> should follow at all CPCU Society meetings and related informal gatherings:</w:t>
      </w:r>
    </w:p>
    <w:p w:rsidR="00792D60" w:rsidRPr="00506214" w:rsidRDefault="00792D60" w:rsidP="00792D60">
      <w:pPr>
        <w:rPr>
          <w:rFonts w:ascii="Calibri" w:hAnsi="Calibri" w:cs="Calibri"/>
          <w:sz w:val="16"/>
        </w:rPr>
      </w:pPr>
    </w:p>
    <w:p w:rsidR="00792D60" w:rsidRPr="00506214" w:rsidRDefault="00792D60" w:rsidP="00792D60">
      <w:pPr>
        <w:numPr>
          <w:ilvl w:val="0"/>
          <w:numId w:val="1"/>
        </w:numPr>
        <w:spacing w:after="10"/>
        <w:ind w:left="720" w:right="396"/>
        <w:rPr>
          <w:rFonts w:ascii="Calibri" w:hAnsi="Calibri" w:cs="Calibri"/>
        </w:rPr>
      </w:pPr>
      <w:r w:rsidRPr="00506214">
        <w:rPr>
          <w:rFonts w:ascii="Calibri" w:hAnsi="Calibri" w:cs="Calibri"/>
          <w:b/>
        </w:rPr>
        <w:t>DON’T</w:t>
      </w:r>
      <w:r w:rsidRPr="00506214">
        <w:rPr>
          <w:rFonts w:ascii="Calibri" w:hAnsi="Calibri" w:cs="Calibri"/>
        </w:rPr>
        <w:t xml:space="preserve"> discuss your own or competitors’ prices or fees, or anything that might affect prices or fees, such as costs, discounts, or profit margins.</w:t>
      </w:r>
    </w:p>
    <w:p w:rsidR="00792D60" w:rsidRPr="00506214" w:rsidRDefault="00792D60" w:rsidP="00792D60">
      <w:pPr>
        <w:spacing w:after="10" w:line="120" w:lineRule="auto"/>
        <w:ind w:left="720" w:right="396" w:hanging="360"/>
        <w:rPr>
          <w:rFonts w:ascii="Calibri" w:hAnsi="Calibri" w:cs="Calibri"/>
          <w:sz w:val="20"/>
        </w:rPr>
      </w:pPr>
    </w:p>
    <w:p w:rsidR="00792D60" w:rsidRPr="00506214" w:rsidRDefault="00792D60" w:rsidP="00792D60">
      <w:pPr>
        <w:numPr>
          <w:ilvl w:val="0"/>
          <w:numId w:val="1"/>
        </w:numPr>
        <w:spacing w:after="10"/>
        <w:ind w:left="720" w:right="396"/>
        <w:rPr>
          <w:rFonts w:ascii="Calibri" w:hAnsi="Calibri" w:cs="Calibri"/>
          <w:b/>
        </w:rPr>
      </w:pPr>
      <w:r w:rsidRPr="00506214">
        <w:rPr>
          <w:rFonts w:ascii="Calibri" w:hAnsi="Calibri" w:cs="Calibri"/>
          <w:b/>
        </w:rPr>
        <w:t>DON’T</w:t>
      </w:r>
      <w:r w:rsidRPr="00506214">
        <w:rPr>
          <w:rFonts w:ascii="Calibri" w:hAnsi="Calibri" w:cs="Calibri"/>
        </w:rPr>
        <w:t xml:space="preserve"> stay at a meeting where any such price talk occurs.</w:t>
      </w:r>
    </w:p>
    <w:p w:rsidR="00792D60" w:rsidRPr="00506214" w:rsidRDefault="00792D60" w:rsidP="00792D60">
      <w:pPr>
        <w:spacing w:after="10" w:line="120" w:lineRule="auto"/>
        <w:ind w:left="720" w:right="396" w:hanging="360"/>
        <w:rPr>
          <w:rFonts w:ascii="Calibri" w:hAnsi="Calibri" w:cs="Calibri"/>
          <w:sz w:val="20"/>
        </w:rPr>
      </w:pPr>
    </w:p>
    <w:p w:rsidR="00792D60" w:rsidRPr="00506214" w:rsidRDefault="00792D60" w:rsidP="00792D60">
      <w:pPr>
        <w:numPr>
          <w:ilvl w:val="0"/>
          <w:numId w:val="1"/>
        </w:numPr>
        <w:spacing w:after="10"/>
        <w:ind w:left="720" w:right="396"/>
        <w:rPr>
          <w:rFonts w:ascii="Calibri" w:hAnsi="Calibri" w:cs="Calibri"/>
        </w:rPr>
      </w:pPr>
      <w:r w:rsidRPr="00506214">
        <w:rPr>
          <w:rFonts w:ascii="Calibri" w:hAnsi="Calibri" w:cs="Calibri"/>
          <w:b/>
        </w:rPr>
        <w:t>DON’T</w:t>
      </w:r>
      <w:r w:rsidRPr="00506214">
        <w:rPr>
          <w:rFonts w:ascii="Calibri" w:hAnsi="Calibri" w:cs="Calibri"/>
        </w:rPr>
        <w:t xml:space="preserve"> make public announcements or statements about your own prices or fees, or those of competitors, at any CPCU Society meeting.</w:t>
      </w:r>
    </w:p>
    <w:p w:rsidR="00792D60" w:rsidRPr="00506214" w:rsidRDefault="00792D60" w:rsidP="00792D60">
      <w:pPr>
        <w:spacing w:after="10" w:line="120" w:lineRule="auto"/>
        <w:ind w:left="720" w:right="396" w:hanging="360"/>
        <w:rPr>
          <w:rFonts w:ascii="Calibri" w:hAnsi="Calibri" w:cs="Calibri"/>
          <w:sz w:val="20"/>
        </w:rPr>
      </w:pPr>
    </w:p>
    <w:p w:rsidR="00792D60" w:rsidRPr="00506214" w:rsidRDefault="00792D60" w:rsidP="00792D60">
      <w:pPr>
        <w:numPr>
          <w:ilvl w:val="0"/>
          <w:numId w:val="1"/>
        </w:numPr>
        <w:spacing w:after="10"/>
        <w:ind w:left="720" w:right="396"/>
        <w:rPr>
          <w:rFonts w:ascii="Calibri" w:hAnsi="Calibri" w:cs="Calibri"/>
        </w:rPr>
      </w:pPr>
      <w:r w:rsidRPr="00506214">
        <w:rPr>
          <w:rFonts w:ascii="Calibri" w:hAnsi="Calibri" w:cs="Calibri"/>
          <w:b/>
        </w:rPr>
        <w:t>DON’T</w:t>
      </w:r>
      <w:r w:rsidRPr="00506214">
        <w:rPr>
          <w:rFonts w:ascii="Calibri" w:hAnsi="Calibri" w:cs="Calibri"/>
        </w:rPr>
        <w:t xml:space="preserve"> talk about what you (or your employer) or another member (or their employer)</w:t>
      </w:r>
      <w:r w:rsidRPr="00506214">
        <w:rPr>
          <w:rFonts w:ascii="Calibri" w:hAnsi="Calibri" w:cs="Calibri"/>
          <w:b/>
        </w:rPr>
        <w:t xml:space="preserve"> </w:t>
      </w:r>
      <w:r w:rsidRPr="00506214">
        <w:rPr>
          <w:rFonts w:ascii="Calibri" w:hAnsi="Calibri" w:cs="Calibri"/>
        </w:rPr>
        <w:t>plans to do in particular geographic or product markets or with particular customers.</w:t>
      </w:r>
    </w:p>
    <w:p w:rsidR="00792D60" w:rsidRPr="00506214" w:rsidRDefault="00792D60" w:rsidP="00792D60">
      <w:pPr>
        <w:spacing w:after="10" w:line="120" w:lineRule="auto"/>
        <w:ind w:left="720" w:right="396" w:hanging="360"/>
        <w:rPr>
          <w:rFonts w:ascii="Calibri" w:hAnsi="Calibri" w:cs="Calibri"/>
          <w:sz w:val="20"/>
        </w:rPr>
      </w:pPr>
    </w:p>
    <w:p w:rsidR="00792D60" w:rsidRPr="00506214" w:rsidRDefault="00792D60" w:rsidP="00792D60">
      <w:pPr>
        <w:numPr>
          <w:ilvl w:val="0"/>
          <w:numId w:val="1"/>
        </w:numPr>
        <w:spacing w:after="10"/>
        <w:ind w:left="720" w:right="396"/>
        <w:rPr>
          <w:rFonts w:ascii="Calibri" w:hAnsi="Calibri" w:cs="Calibri"/>
          <w:b/>
        </w:rPr>
      </w:pPr>
      <w:r w:rsidRPr="00506214">
        <w:rPr>
          <w:rFonts w:ascii="Calibri" w:hAnsi="Calibri" w:cs="Calibri"/>
          <w:b/>
        </w:rPr>
        <w:t xml:space="preserve">DON’T </w:t>
      </w:r>
      <w:r w:rsidRPr="00506214">
        <w:rPr>
          <w:rFonts w:ascii="Calibri" w:hAnsi="Calibri" w:cs="Calibri"/>
        </w:rPr>
        <w:t>speak or act on behalf of the CPCU Society unless specifically authorized to do so.</w:t>
      </w:r>
      <w:r w:rsidRPr="00506214">
        <w:rPr>
          <w:rFonts w:ascii="Calibri" w:hAnsi="Calibri" w:cs="Calibri"/>
          <w:b/>
        </w:rPr>
        <w:t xml:space="preserve"> </w:t>
      </w:r>
    </w:p>
    <w:p w:rsidR="00792D60" w:rsidRPr="00506214" w:rsidRDefault="00792D60" w:rsidP="00792D60">
      <w:pPr>
        <w:spacing w:after="10" w:line="120" w:lineRule="auto"/>
        <w:ind w:left="720" w:right="396" w:hanging="360"/>
        <w:rPr>
          <w:rFonts w:ascii="Calibri" w:hAnsi="Calibri" w:cs="Calibri"/>
          <w:sz w:val="20"/>
        </w:rPr>
      </w:pPr>
    </w:p>
    <w:p w:rsidR="00792D60" w:rsidRPr="00506214" w:rsidRDefault="00792D60" w:rsidP="00792D60">
      <w:pPr>
        <w:numPr>
          <w:ilvl w:val="0"/>
          <w:numId w:val="1"/>
        </w:numPr>
        <w:spacing w:after="10"/>
        <w:ind w:left="720" w:right="396"/>
        <w:rPr>
          <w:rFonts w:ascii="Calibri" w:hAnsi="Calibri" w:cs="Calibri"/>
        </w:rPr>
      </w:pPr>
      <w:r w:rsidRPr="00506214">
        <w:rPr>
          <w:rFonts w:ascii="Calibri" w:hAnsi="Calibri" w:cs="Calibri"/>
          <w:b/>
        </w:rPr>
        <w:t>DO</w:t>
      </w:r>
      <w:r w:rsidRPr="00506214">
        <w:rPr>
          <w:rFonts w:ascii="Calibri" w:hAnsi="Calibri" w:cs="Calibri"/>
        </w:rPr>
        <w:t xml:space="preserve"> alert CPCU Society officers or legal counsel to any sensitive issues in proposed statements to be made on behalf of the CPCU Society.</w:t>
      </w:r>
    </w:p>
    <w:p w:rsidR="00792D60" w:rsidRPr="00506214" w:rsidRDefault="00792D60" w:rsidP="00792D60">
      <w:pPr>
        <w:spacing w:after="10" w:line="120" w:lineRule="auto"/>
        <w:ind w:left="720" w:right="396" w:hanging="360"/>
        <w:rPr>
          <w:rFonts w:ascii="Calibri" w:hAnsi="Calibri" w:cs="Calibri"/>
          <w:sz w:val="20"/>
        </w:rPr>
      </w:pPr>
    </w:p>
    <w:p w:rsidR="00792D60" w:rsidRPr="00506214" w:rsidRDefault="00792D60" w:rsidP="00792D60">
      <w:pPr>
        <w:numPr>
          <w:ilvl w:val="0"/>
          <w:numId w:val="1"/>
        </w:numPr>
        <w:spacing w:after="10"/>
        <w:ind w:left="720" w:right="396"/>
        <w:rPr>
          <w:rFonts w:ascii="Calibri" w:hAnsi="Calibri" w:cs="Calibri"/>
        </w:rPr>
      </w:pPr>
      <w:r w:rsidRPr="00506214">
        <w:rPr>
          <w:rFonts w:ascii="Calibri" w:hAnsi="Calibri" w:cs="Calibri"/>
          <w:b/>
        </w:rPr>
        <w:t>DO</w:t>
      </w:r>
      <w:r w:rsidRPr="00506214">
        <w:rPr>
          <w:rFonts w:ascii="Calibri" w:hAnsi="Calibri" w:cs="Calibri"/>
        </w:rPr>
        <w:t xml:space="preserve"> consult with your own legal counsel or the CPCU Society before raising any matter or making any statement that you think may involve competitively sensitive</w:t>
      </w:r>
      <w:r w:rsidRPr="00506214">
        <w:rPr>
          <w:rFonts w:ascii="Calibri" w:hAnsi="Calibri" w:cs="Calibri"/>
          <w:b/>
        </w:rPr>
        <w:t xml:space="preserve"> </w:t>
      </w:r>
      <w:r w:rsidRPr="00506214">
        <w:rPr>
          <w:rFonts w:ascii="Calibri" w:hAnsi="Calibri" w:cs="Calibri"/>
        </w:rPr>
        <w:t>information.</w:t>
      </w:r>
    </w:p>
    <w:p w:rsidR="00792D60" w:rsidRPr="00506214" w:rsidRDefault="00792D60" w:rsidP="00792D60">
      <w:pPr>
        <w:spacing w:after="10" w:line="120" w:lineRule="auto"/>
        <w:ind w:left="720" w:right="396" w:hanging="360"/>
        <w:rPr>
          <w:rFonts w:ascii="Calibri" w:hAnsi="Calibri" w:cs="Calibri"/>
          <w:sz w:val="20"/>
        </w:rPr>
      </w:pPr>
    </w:p>
    <w:p w:rsidR="00792D60" w:rsidRPr="00506214" w:rsidRDefault="00792D60" w:rsidP="00792D60">
      <w:pPr>
        <w:numPr>
          <w:ilvl w:val="0"/>
          <w:numId w:val="1"/>
        </w:numPr>
        <w:spacing w:after="10"/>
        <w:ind w:left="720" w:right="396"/>
        <w:rPr>
          <w:rFonts w:ascii="Calibri" w:hAnsi="Calibri" w:cs="Calibri"/>
        </w:rPr>
      </w:pPr>
      <w:r w:rsidRPr="00506214">
        <w:rPr>
          <w:rFonts w:ascii="Calibri" w:hAnsi="Calibri" w:cs="Calibri"/>
          <w:b/>
        </w:rPr>
        <w:t>DO</w:t>
      </w:r>
      <w:r w:rsidRPr="00506214">
        <w:rPr>
          <w:rFonts w:ascii="Calibri" w:hAnsi="Calibri" w:cs="Calibri"/>
        </w:rPr>
        <w:t xml:space="preserve"> be alert to improper activities, and don’t participate if you think something is improper.</w:t>
      </w:r>
    </w:p>
    <w:p w:rsidR="00792D60" w:rsidRPr="00244FB3" w:rsidRDefault="00792D60" w:rsidP="00792D60">
      <w:pPr>
        <w:rPr>
          <w:rFonts w:ascii="Calibri" w:hAnsi="Calibri" w:cs="Calibri"/>
        </w:rPr>
      </w:pPr>
    </w:p>
    <w:p w:rsidR="00336D3F" w:rsidRPr="00792D60" w:rsidRDefault="00792D60" w:rsidP="00792D60">
      <w:r w:rsidRPr="00506214">
        <w:rPr>
          <w:rFonts w:ascii="Calibri" w:hAnsi="Calibri" w:cs="Calibri"/>
        </w:rPr>
        <w:t>Adherence to these guidelines involves not only avoidance of antitrust violations, but avoidance of behavior which might be so construed.  Bear in mind that the antitrust laws are stated in general terms, and that these guidelines only provide an overview of prohibited actions.  If you have specific questions, seek guidance from your own legal counsel or from the CPCU Society’s President or legal counsel.</w:t>
      </w:r>
    </w:p>
    <w:sectPr w:rsidR="00336D3F" w:rsidRPr="00792D60" w:rsidSect="000E495D">
      <w:headerReference w:type="default" r:id="rId9"/>
      <w:footerReference w:type="default" r:id="rId10"/>
      <w:pgSz w:w="12240" w:h="15840"/>
      <w:pgMar w:top="43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CF" w:rsidRDefault="007773CF">
      <w:r>
        <w:separator/>
      </w:r>
    </w:p>
  </w:endnote>
  <w:endnote w:type="continuationSeparator" w:id="0">
    <w:p w:rsidR="007773CF" w:rsidRDefault="007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C3" w:rsidRPr="00B853B4" w:rsidRDefault="00AC38C3" w:rsidP="006D5279">
    <w:pPr>
      <w:pStyle w:val="BasicParagraph"/>
      <w:jc w:val="center"/>
      <w:rPr>
        <w:rFonts w:ascii="Arial" w:hAnsi="Arial" w:cs="Arial"/>
        <w:color w:val="002A5B"/>
        <w:spacing w:val="2"/>
        <w:sz w:val="18"/>
        <w:szCs w:val="18"/>
      </w:rPr>
    </w:pPr>
    <w:r w:rsidRPr="00B853B4">
      <w:rPr>
        <w:rFonts w:ascii="Arial" w:hAnsi="Arial" w:cs="Arial"/>
        <w:color w:val="002A5B"/>
        <w:spacing w:val="2"/>
        <w:sz w:val="18"/>
        <w:szCs w:val="18"/>
      </w:rPr>
      <w:t xml:space="preserve">720 Providence Road, Suite 100 | Malvern, PA 19355 | (800) 932-CPCU (2728) | </w:t>
    </w:r>
    <w:r w:rsidRPr="00B853B4">
      <w:rPr>
        <w:rFonts w:ascii="Arial" w:hAnsi="Arial" w:cs="Arial"/>
        <w:b/>
        <w:color w:val="002A5B"/>
        <w:spacing w:val="2"/>
        <w:sz w:val="18"/>
        <w:szCs w:val="18"/>
      </w:rPr>
      <w:t>www.CPCUSociety.org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CF" w:rsidRDefault="007773CF">
      <w:r>
        <w:separator/>
      </w:r>
    </w:p>
  </w:footnote>
  <w:footnote w:type="continuationSeparator" w:id="0">
    <w:p w:rsidR="007773CF" w:rsidRDefault="0077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912"/>
    </w:tblGrid>
    <w:tr w:rsidR="00AC38C3" w:rsidTr="006F06BF">
      <w:tc>
        <w:tcPr>
          <w:tcW w:w="3780" w:type="dxa"/>
        </w:tcPr>
        <w:p w:rsidR="00AC38C3" w:rsidRDefault="00AC38C3" w:rsidP="00336D3F">
          <w:pPr>
            <w:pStyle w:val="Header"/>
            <w:tabs>
              <w:tab w:val="clear" w:pos="4320"/>
              <w:tab w:val="clear" w:pos="8640"/>
              <w:tab w:val="center" w:pos="5112"/>
            </w:tabs>
          </w:pPr>
          <w:r>
            <w:rPr>
              <w:noProof/>
            </w:rPr>
            <w:drawing>
              <wp:inline distT="0" distB="0" distL="0" distR="0" wp14:anchorId="7122857E" wp14:editId="546832FA">
                <wp:extent cx="2029460" cy="1184275"/>
                <wp:effectExtent l="19050" t="0" r="8890" b="0"/>
                <wp:docPr id="2" name="Picture 2" descr="CPCUSociety_Logo_TIaffil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USociety_Logo_TIaffiliate"/>
                        <pic:cNvPicPr>
                          <a:picLocks noChangeAspect="1" noChangeArrowheads="1"/>
                        </pic:cNvPicPr>
                      </pic:nvPicPr>
                      <pic:blipFill>
                        <a:blip r:embed="rId1"/>
                        <a:srcRect/>
                        <a:stretch>
                          <a:fillRect/>
                        </a:stretch>
                      </pic:blipFill>
                      <pic:spPr bwMode="auto">
                        <a:xfrm>
                          <a:off x="0" y="0"/>
                          <a:ext cx="2029460" cy="1184275"/>
                        </a:xfrm>
                        <a:prstGeom prst="rect">
                          <a:avLst/>
                        </a:prstGeom>
                        <a:noFill/>
                        <a:ln w="9525">
                          <a:noFill/>
                          <a:miter lim="800000"/>
                          <a:headEnd/>
                          <a:tailEnd/>
                        </a:ln>
                      </pic:spPr>
                    </pic:pic>
                  </a:graphicData>
                </a:graphic>
              </wp:inline>
            </w:drawing>
          </w:r>
        </w:p>
      </w:tc>
      <w:tc>
        <w:tcPr>
          <w:tcW w:w="6912" w:type="dxa"/>
        </w:tcPr>
        <w:p w:rsidR="00AC38C3" w:rsidRPr="00CC594D" w:rsidRDefault="00AC38C3" w:rsidP="00336D3F">
          <w:pPr>
            <w:pStyle w:val="Header"/>
            <w:tabs>
              <w:tab w:val="clear" w:pos="4320"/>
              <w:tab w:val="clear" w:pos="8640"/>
              <w:tab w:val="center" w:pos="5112"/>
            </w:tabs>
            <w:rPr>
              <w:rFonts w:ascii="Helvetica 55 Roman" w:hAnsi="Helvetica 55 Roman"/>
              <w:color w:val="002B5C"/>
              <w:sz w:val="56"/>
              <w:szCs w:val="36"/>
            </w:rPr>
          </w:pPr>
        </w:p>
        <w:p w:rsidR="00AC38C3" w:rsidRPr="00CC594D" w:rsidRDefault="00B65CF1" w:rsidP="00B65CF1">
          <w:pPr>
            <w:pStyle w:val="Header"/>
            <w:tabs>
              <w:tab w:val="clear" w:pos="4320"/>
              <w:tab w:val="clear" w:pos="8640"/>
              <w:tab w:val="center" w:pos="5112"/>
            </w:tabs>
            <w:rPr>
              <w:sz w:val="48"/>
            </w:rPr>
          </w:pPr>
          <w:r>
            <w:rPr>
              <w:rFonts w:ascii="Helvetica 55 Roman" w:hAnsi="Helvetica 55 Roman"/>
              <w:color w:val="002B5C"/>
              <w:sz w:val="48"/>
              <w:szCs w:val="36"/>
            </w:rPr>
            <w:t xml:space="preserve">   Antitrust Statement</w:t>
          </w:r>
        </w:p>
      </w:tc>
    </w:tr>
  </w:tbl>
  <w:p w:rsidR="00AC38C3" w:rsidRPr="00BD4030" w:rsidRDefault="00AC38C3" w:rsidP="00336D3F">
    <w:pPr>
      <w:pStyle w:val="Header"/>
      <w:tabs>
        <w:tab w:val="clear" w:pos="4320"/>
        <w:tab w:val="clear" w:pos="8640"/>
        <w:tab w:val="center"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487"/>
    <w:multiLevelType w:val="hybridMultilevel"/>
    <w:tmpl w:val="D7D49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D2"/>
    <w:rsid w:val="00077454"/>
    <w:rsid w:val="0008279D"/>
    <w:rsid w:val="000841CB"/>
    <w:rsid w:val="000B73E2"/>
    <w:rsid w:val="000E495D"/>
    <w:rsid w:val="001113FB"/>
    <w:rsid w:val="001214CF"/>
    <w:rsid w:val="0013047C"/>
    <w:rsid w:val="001324E8"/>
    <w:rsid w:val="001800D2"/>
    <w:rsid w:val="0018286E"/>
    <w:rsid w:val="001C47E7"/>
    <w:rsid w:val="00210D1B"/>
    <w:rsid w:val="00232917"/>
    <w:rsid w:val="00282598"/>
    <w:rsid w:val="002D2CC5"/>
    <w:rsid w:val="002D7F49"/>
    <w:rsid w:val="002E0379"/>
    <w:rsid w:val="00313E2C"/>
    <w:rsid w:val="00336D3F"/>
    <w:rsid w:val="00347C12"/>
    <w:rsid w:val="003807E1"/>
    <w:rsid w:val="003B7A6F"/>
    <w:rsid w:val="003F41DC"/>
    <w:rsid w:val="003F44CE"/>
    <w:rsid w:val="00453362"/>
    <w:rsid w:val="004573B7"/>
    <w:rsid w:val="00511861"/>
    <w:rsid w:val="00544480"/>
    <w:rsid w:val="00553873"/>
    <w:rsid w:val="005724DC"/>
    <w:rsid w:val="005C4199"/>
    <w:rsid w:val="005D37C0"/>
    <w:rsid w:val="006158A5"/>
    <w:rsid w:val="00651142"/>
    <w:rsid w:val="00664ED5"/>
    <w:rsid w:val="006D5279"/>
    <w:rsid w:val="006E1DFC"/>
    <w:rsid w:val="006F06BF"/>
    <w:rsid w:val="00764192"/>
    <w:rsid w:val="007773CF"/>
    <w:rsid w:val="00792D60"/>
    <w:rsid w:val="007A4659"/>
    <w:rsid w:val="00821866"/>
    <w:rsid w:val="00821F13"/>
    <w:rsid w:val="0084581D"/>
    <w:rsid w:val="008560D0"/>
    <w:rsid w:val="0087146F"/>
    <w:rsid w:val="008B21B0"/>
    <w:rsid w:val="008B4EE2"/>
    <w:rsid w:val="008C4F95"/>
    <w:rsid w:val="0091271C"/>
    <w:rsid w:val="00915C0C"/>
    <w:rsid w:val="00915C57"/>
    <w:rsid w:val="009268E3"/>
    <w:rsid w:val="00A0653C"/>
    <w:rsid w:val="00A91D9B"/>
    <w:rsid w:val="00AC38C3"/>
    <w:rsid w:val="00AE7CE2"/>
    <w:rsid w:val="00B1191C"/>
    <w:rsid w:val="00B3747F"/>
    <w:rsid w:val="00B65CF1"/>
    <w:rsid w:val="00B853B4"/>
    <w:rsid w:val="00BB554F"/>
    <w:rsid w:val="00BB7906"/>
    <w:rsid w:val="00BC2653"/>
    <w:rsid w:val="00BD4030"/>
    <w:rsid w:val="00C30EE8"/>
    <w:rsid w:val="00C5355B"/>
    <w:rsid w:val="00C93A35"/>
    <w:rsid w:val="00CC594D"/>
    <w:rsid w:val="00D30AF0"/>
    <w:rsid w:val="00D323B7"/>
    <w:rsid w:val="00D54212"/>
    <w:rsid w:val="00D7149D"/>
    <w:rsid w:val="00D97F68"/>
    <w:rsid w:val="00DB1C1B"/>
    <w:rsid w:val="00DB5B91"/>
    <w:rsid w:val="00E10288"/>
    <w:rsid w:val="00E47135"/>
    <w:rsid w:val="00E96002"/>
    <w:rsid w:val="00EA249E"/>
    <w:rsid w:val="00EF2486"/>
    <w:rsid w:val="00F1472C"/>
    <w:rsid w:val="00F62F5F"/>
    <w:rsid w:val="00FB7FF7"/>
    <w:rsid w:val="00FE4851"/>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142"/>
    <w:pPr>
      <w:tabs>
        <w:tab w:val="center" w:pos="4320"/>
        <w:tab w:val="right" w:pos="8640"/>
      </w:tabs>
    </w:pPr>
  </w:style>
  <w:style w:type="paragraph" w:styleId="Footer">
    <w:name w:val="footer"/>
    <w:basedOn w:val="Normal"/>
    <w:rsid w:val="00651142"/>
    <w:pPr>
      <w:tabs>
        <w:tab w:val="center" w:pos="4320"/>
        <w:tab w:val="right" w:pos="8640"/>
      </w:tabs>
    </w:pPr>
  </w:style>
  <w:style w:type="paragraph" w:styleId="NoSpacing">
    <w:name w:val="No Spacing"/>
    <w:uiPriority w:val="1"/>
    <w:qFormat/>
    <w:rsid w:val="00A91D9B"/>
    <w:rPr>
      <w:rFonts w:ascii="Calibri" w:eastAsia="Calibri" w:hAnsi="Calibri"/>
      <w:sz w:val="22"/>
      <w:szCs w:val="22"/>
    </w:rPr>
  </w:style>
  <w:style w:type="paragraph" w:customStyle="1" w:styleId="BasicParagraph">
    <w:name w:val="[Basic Paragraph]"/>
    <w:basedOn w:val="Normal"/>
    <w:uiPriority w:val="99"/>
    <w:rsid w:val="00282598"/>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rsid w:val="00B1191C"/>
    <w:rPr>
      <w:rFonts w:ascii="Tahoma" w:hAnsi="Tahoma" w:cs="Tahoma"/>
      <w:sz w:val="16"/>
      <w:szCs w:val="16"/>
    </w:rPr>
  </w:style>
  <w:style w:type="character" w:customStyle="1" w:styleId="BalloonTextChar">
    <w:name w:val="Balloon Text Char"/>
    <w:basedOn w:val="DefaultParagraphFont"/>
    <w:link w:val="BalloonText"/>
    <w:rsid w:val="00B1191C"/>
    <w:rPr>
      <w:rFonts w:ascii="Tahoma" w:hAnsi="Tahoma" w:cs="Tahoma"/>
      <w:sz w:val="16"/>
      <w:szCs w:val="16"/>
    </w:rPr>
  </w:style>
  <w:style w:type="table" w:styleId="TableGrid">
    <w:name w:val="Table Grid"/>
    <w:basedOn w:val="TableNormal"/>
    <w:rsid w:val="0033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06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142"/>
    <w:pPr>
      <w:tabs>
        <w:tab w:val="center" w:pos="4320"/>
        <w:tab w:val="right" w:pos="8640"/>
      </w:tabs>
    </w:pPr>
  </w:style>
  <w:style w:type="paragraph" w:styleId="Footer">
    <w:name w:val="footer"/>
    <w:basedOn w:val="Normal"/>
    <w:rsid w:val="00651142"/>
    <w:pPr>
      <w:tabs>
        <w:tab w:val="center" w:pos="4320"/>
        <w:tab w:val="right" w:pos="8640"/>
      </w:tabs>
    </w:pPr>
  </w:style>
  <w:style w:type="paragraph" w:styleId="NoSpacing">
    <w:name w:val="No Spacing"/>
    <w:uiPriority w:val="1"/>
    <w:qFormat/>
    <w:rsid w:val="00A91D9B"/>
    <w:rPr>
      <w:rFonts w:ascii="Calibri" w:eastAsia="Calibri" w:hAnsi="Calibri"/>
      <w:sz w:val="22"/>
      <w:szCs w:val="22"/>
    </w:rPr>
  </w:style>
  <w:style w:type="paragraph" w:customStyle="1" w:styleId="BasicParagraph">
    <w:name w:val="[Basic Paragraph]"/>
    <w:basedOn w:val="Normal"/>
    <w:uiPriority w:val="99"/>
    <w:rsid w:val="00282598"/>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rsid w:val="00B1191C"/>
    <w:rPr>
      <w:rFonts w:ascii="Tahoma" w:hAnsi="Tahoma" w:cs="Tahoma"/>
      <w:sz w:val="16"/>
      <w:szCs w:val="16"/>
    </w:rPr>
  </w:style>
  <w:style w:type="character" w:customStyle="1" w:styleId="BalloonTextChar">
    <w:name w:val="Balloon Text Char"/>
    <w:basedOn w:val="DefaultParagraphFont"/>
    <w:link w:val="BalloonText"/>
    <w:rsid w:val="00B1191C"/>
    <w:rPr>
      <w:rFonts w:ascii="Tahoma" w:hAnsi="Tahoma" w:cs="Tahoma"/>
      <w:sz w:val="16"/>
      <w:szCs w:val="16"/>
    </w:rPr>
  </w:style>
  <w:style w:type="table" w:styleId="TableGrid">
    <w:name w:val="Table Grid"/>
    <w:basedOn w:val="TableNormal"/>
    <w:rsid w:val="0033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0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E5D2-0BAB-4568-B80B-8375D217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NYMutual</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Masselli</dc:creator>
  <cp:lastModifiedBy>Polachek, Jennifer</cp:lastModifiedBy>
  <cp:revision>3</cp:revision>
  <cp:lastPrinted>2014-09-30T14:40:00Z</cp:lastPrinted>
  <dcterms:created xsi:type="dcterms:W3CDTF">2014-09-30T14:39:00Z</dcterms:created>
  <dcterms:modified xsi:type="dcterms:W3CDTF">2014-09-30T15:04:00Z</dcterms:modified>
</cp:coreProperties>
</file>